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0B" w:rsidRDefault="00F83FE6" w:rsidP="00EC21BE">
      <w:pPr>
        <w:rPr>
          <w:rFonts w:ascii="Cambria" w:hAnsi="Cambria"/>
          <w:b/>
          <w:bCs/>
          <w:color w:val="0070C0"/>
          <w:sz w:val="20"/>
          <w:szCs w:val="20"/>
        </w:rPr>
      </w:pPr>
      <w:r>
        <w:rPr>
          <w:rFonts w:ascii="Cambria" w:hAnsi="Cambria"/>
          <w:b/>
          <w:bCs/>
          <w:color w:val="0070C0"/>
          <w:sz w:val="20"/>
          <w:szCs w:val="20"/>
        </w:rPr>
        <w:t>Does Information and Communication Technology (ICT) Improve Public Goods Provision?</w:t>
      </w:r>
    </w:p>
    <w:p w:rsidR="00C3040B" w:rsidRDefault="00EC21BE" w:rsidP="00EC21BE">
      <w:pPr>
        <w:rPr>
          <w:rFonts w:ascii="Cambria" w:hAnsi="Cambria"/>
          <w:i/>
          <w:iCs/>
          <w:sz w:val="20"/>
          <w:szCs w:val="20"/>
        </w:rPr>
      </w:pPr>
      <w:r w:rsidRPr="00EC21BE">
        <w:rPr>
          <w:rFonts w:ascii="Cambria" w:hAnsi="Cambria"/>
          <w:i/>
          <w:iCs/>
          <w:sz w:val="20"/>
          <w:szCs w:val="20"/>
        </w:rPr>
        <w:t xml:space="preserve"> </w:t>
      </w:r>
      <w:r w:rsidR="00CD7455">
        <w:rPr>
          <w:rFonts w:ascii="Cambria" w:hAnsi="Cambria"/>
          <w:i/>
          <w:iCs/>
          <w:sz w:val="20"/>
          <w:szCs w:val="20"/>
        </w:rPr>
        <w:t xml:space="preserve">            </w:t>
      </w:r>
      <w:r w:rsidR="00C3040B">
        <w:rPr>
          <w:rFonts w:ascii="Cambria" w:hAnsi="Cambria"/>
          <w:i/>
          <w:iCs/>
          <w:sz w:val="20"/>
          <w:szCs w:val="20"/>
        </w:rPr>
        <w:t xml:space="preserve">Princeton’s “Improving Government Accountability and Leading Reform” </w:t>
      </w:r>
      <w:r w:rsidR="00CD7455">
        <w:rPr>
          <w:rFonts w:ascii="Cambria" w:hAnsi="Cambria"/>
          <w:i/>
          <w:iCs/>
          <w:sz w:val="20"/>
          <w:szCs w:val="20"/>
        </w:rPr>
        <w:t>Conference</w:t>
      </w:r>
    </w:p>
    <w:p w:rsidR="00C3040B" w:rsidRPr="00C3040B" w:rsidRDefault="00C3040B" w:rsidP="00C3040B">
      <w:pPr>
        <w:ind w:left="2160" w:firstLine="720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Friday, September 21</w:t>
      </w:r>
      <w:r w:rsidRPr="00C3040B">
        <w:rPr>
          <w:rFonts w:ascii="Cambria" w:hAnsi="Cambria"/>
          <w:i/>
          <w:iCs/>
          <w:sz w:val="20"/>
          <w:szCs w:val="20"/>
          <w:vertAlign w:val="superscript"/>
        </w:rPr>
        <w:t>st</w:t>
      </w:r>
      <w:r>
        <w:rPr>
          <w:rFonts w:ascii="Cambria" w:hAnsi="Cambria"/>
          <w:i/>
          <w:iCs/>
          <w:sz w:val="20"/>
          <w:szCs w:val="20"/>
        </w:rPr>
        <w:t>, 2012</w:t>
      </w:r>
    </w:p>
    <w:p w:rsidR="00EC21BE" w:rsidRPr="00EC21BE" w:rsidRDefault="00EC21BE" w:rsidP="00EC21BE">
      <w:pPr>
        <w:rPr>
          <w:rFonts w:ascii="Cambria" w:hAnsi="Cambria"/>
          <w:i/>
          <w:iCs/>
          <w:sz w:val="20"/>
          <w:szCs w:val="20"/>
        </w:rPr>
      </w:pP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  <w:r w:rsidRPr="00EC21BE">
        <w:rPr>
          <w:rFonts w:ascii="Cambria" w:hAnsi="Cambria" w:cs="Tahoma"/>
          <w:i/>
          <w:color w:val="1A1A1A"/>
          <w:sz w:val="20"/>
          <w:szCs w:val="26"/>
        </w:rPr>
        <w:t>Problem</w:t>
      </w:r>
    </w:p>
    <w:p w:rsidR="00DB2B8B" w:rsidRPr="001357D2" w:rsidRDefault="001357D2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  <w:r>
        <w:rPr>
          <w:rFonts w:ascii="Cambria" w:hAnsi="Cambria" w:cs="Tahoma"/>
          <w:color w:val="1A1A1A"/>
          <w:sz w:val="20"/>
          <w:szCs w:val="26"/>
        </w:rPr>
        <w:t xml:space="preserve">Can information and communication technology help poor communities more effectively generate public goods?  </w:t>
      </w:r>
      <w:r w:rsidR="00EC21BE" w:rsidRPr="00EC21BE">
        <w:rPr>
          <w:rFonts w:ascii="Cambria" w:hAnsi="Cambria"/>
          <w:color w:val="000000"/>
          <w:sz w:val="20"/>
          <w:szCs w:val="17"/>
        </w:rPr>
        <w:t xml:space="preserve">While the development community is increasingly enthusiastic about the use of ICT, </w:t>
      </w:r>
      <w:r w:rsidR="00C3040B">
        <w:rPr>
          <w:rFonts w:ascii="Cambria" w:hAnsi="Cambria"/>
          <w:color w:val="000000"/>
          <w:sz w:val="20"/>
          <w:szCs w:val="17"/>
        </w:rPr>
        <w:t>there is</w:t>
      </w:r>
      <w:r w:rsidR="00EC21BE" w:rsidRPr="00EC21BE">
        <w:rPr>
          <w:rFonts w:ascii="Cambria" w:hAnsi="Cambria"/>
          <w:color w:val="000000"/>
          <w:sz w:val="20"/>
          <w:szCs w:val="17"/>
        </w:rPr>
        <w:t xml:space="preserve"> little empirical evidence of the ultimate welfare effects of these tools.  Further, the scant available evide</w:t>
      </w:r>
      <w:r w:rsidR="00C3040B">
        <w:rPr>
          <w:rFonts w:ascii="Cambria" w:hAnsi="Cambria"/>
          <w:color w:val="000000"/>
          <w:sz w:val="20"/>
          <w:szCs w:val="17"/>
        </w:rPr>
        <w:t>nce does not help</w:t>
      </w:r>
      <w:r w:rsidR="00EC21BE" w:rsidRPr="00EC21BE">
        <w:rPr>
          <w:rFonts w:ascii="Cambria" w:hAnsi="Cambria"/>
          <w:color w:val="000000"/>
          <w:sz w:val="20"/>
          <w:szCs w:val="17"/>
        </w:rPr>
        <w:t xml:space="preserve"> adjudicate between competing explanatory mechanisms.  For example, does technology </w:t>
      </w:r>
      <w:r w:rsidR="00C3040B">
        <w:rPr>
          <w:rFonts w:ascii="Cambria" w:hAnsi="Cambria"/>
          <w:color w:val="000000"/>
          <w:sz w:val="20"/>
          <w:szCs w:val="17"/>
        </w:rPr>
        <w:t xml:space="preserve">decrease bureaucratic failure by giving decision makers better situational awareness? Alternatively, does </w:t>
      </w:r>
      <w:r w:rsidR="00EC21BE" w:rsidRPr="00EC21BE">
        <w:rPr>
          <w:rFonts w:ascii="Cambria" w:hAnsi="Cambria"/>
          <w:color w:val="000000"/>
          <w:sz w:val="20"/>
          <w:szCs w:val="17"/>
        </w:rPr>
        <w:t>technology enable citizens to exert pressure, thus altering the incentives of political elites</w:t>
      </w:r>
      <w:r w:rsidR="00C3040B">
        <w:rPr>
          <w:rFonts w:ascii="Cambria" w:hAnsi="Cambria"/>
          <w:color w:val="000000"/>
          <w:sz w:val="20"/>
          <w:szCs w:val="17"/>
        </w:rPr>
        <w:t xml:space="preserve">?  </w:t>
      </w:r>
    </w:p>
    <w:p w:rsidR="00DB2B8B" w:rsidRDefault="009773FC" w:rsidP="00AF0990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17"/>
        </w:rPr>
      </w:pPr>
      <w:r>
        <w:rPr>
          <w:rFonts w:ascii="Cambria" w:hAnsi="Cambria"/>
          <w:color w:val="000000"/>
          <w:sz w:val="20"/>
          <w:szCs w:val="17"/>
        </w:rPr>
        <w:tab/>
      </w:r>
    </w:p>
    <w:p w:rsidR="00EC21BE" w:rsidRPr="00C3040B" w:rsidRDefault="00C3040B" w:rsidP="00AF0990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17"/>
        </w:rPr>
      </w:pPr>
      <w:r>
        <w:rPr>
          <w:rFonts w:ascii="Cambria" w:hAnsi="Cambria"/>
          <w:color w:val="000000"/>
          <w:sz w:val="20"/>
          <w:szCs w:val="17"/>
        </w:rPr>
        <w:t>This</w:t>
      </w:r>
      <w:r w:rsidR="0003323A">
        <w:rPr>
          <w:rFonts w:ascii="Cambria" w:hAnsi="Cambria"/>
          <w:color w:val="000000"/>
          <w:sz w:val="20"/>
          <w:szCs w:val="17"/>
        </w:rPr>
        <w:t xml:space="preserve"> unique field experiment</w:t>
      </w:r>
      <w:r>
        <w:rPr>
          <w:rFonts w:ascii="Cambria" w:hAnsi="Cambria"/>
          <w:color w:val="000000"/>
          <w:sz w:val="20"/>
          <w:szCs w:val="17"/>
        </w:rPr>
        <w:t xml:space="preserve"> seeks to explore this question in Kenya, where the government is leading the Western Kenya Community Driven Development (CDD) Project, a $100M project designed to empower local communities to engage in sustainable and wealth creating livelihood activities. </w:t>
      </w:r>
      <w:r w:rsidR="00DB2B8B">
        <w:rPr>
          <w:rFonts w:ascii="Cambria" w:hAnsi="Cambria"/>
          <w:color w:val="000000"/>
          <w:sz w:val="20"/>
          <w:szCs w:val="17"/>
        </w:rPr>
        <w:t xml:space="preserve">  The project supports over 300 community-pr</w:t>
      </w:r>
      <w:r w:rsidR="00BF0909">
        <w:rPr>
          <w:rFonts w:ascii="Cambria" w:hAnsi="Cambria"/>
          <w:color w:val="000000"/>
          <w:sz w:val="20"/>
          <w:szCs w:val="17"/>
        </w:rPr>
        <w:t>ioritized investment projects, ranging from water points to access roads, to</w:t>
      </w:r>
      <w:r w:rsidR="00DB2B8B">
        <w:rPr>
          <w:rFonts w:ascii="Cambria" w:hAnsi="Cambria"/>
          <w:color w:val="000000"/>
          <w:sz w:val="20"/>
          <w:szCs w:val="17"/>
        </w:rPr>
        <w:t xml:space="preserve"> improve livelihoods and build demand and capacity for local level development at community and district level. </w:t>
      </w: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  <w:r w:rsidRPr="00EC21BE">
        <w:rPr>
          <w:rFonts w:ascii="Cambria" w:hAnsi="Cambria" w:cs="Tahoma"/>
          <w:i/>
          <w:color w:val="1A1A1A"/>
          <w:sz w:val="20"/>
          <w:szCs w:val="26"/>
        </w:rPr>
        <w:t>Intervention</w:t>
      </w:r>
    </w:p>
    <w:p w:rsidR="00EC21BE" w:rsidRPr="00EC21BE" w:rsidRDefault="00C3040B" w:rsidP="005879A8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  <w:r>
        <w:rPr>
          <w:rFonts w:ascii="Cambria" w:hAnsi="Cambria" w:cs="Tahoma"/>
          <w:color w:val="1A1A1A"/>
          <w:sz w:val="20"/>
          <w:szCs w:val="26"/>
        </w:rPr>
        <w:t>The proj</w:t>
      </w:r>
      <w:r w:rsidR="00DB2B8B">
        <w:rPr>
          <w:rFonts w:ascii="Cambria" w:hAnsi="Cambria" w:cs="Tahoma"/>
          <w:color w:val="1A1A1A"/>
          <w:sz w:val="20"/>
          <w:szCs w:val="26"/>
        </w:rPr>
        <w:t xml:space="preserve">ect design seeks to test both </w:t>
      </w:r>
      <w:r w:rsidR="00DB2B8B">
        <w:rPr>
          <w:rFonts w:ascii="Cambria" w:hAnsi="Cambria" w:cs="Tahoma"/>
          <w:i/>
          <w:color w:val="1A1A1A"/>
          <w:sz w:val="20"/>
          <w:szCs w:val="26"/>
        </w:rPr>
        <w:t xml:space="preserve">what </w:t>
      </w:r>
      <w:r w:rsidR="00DB2B8B">
        <w:rPr>
          <w:rFonts w:ascii="Cambria" w:hAnsi="Cambria" w:cs="Tahoma"/>
          <w:color w:val="1A1A1A"/>
          <w:sz w:val="20"/>
          <w:szCs w:val="26"/>
        </w:rPr>
        <w:t xml:space="preserve">and </w:t>
      </w:r>
      <w:r w:rsidR="00DB2B8B">
        <w:rPr>
          <w:rFonts w:ascii="Cambria" w:hAnsi="Cambria" w:cs="Tahoma"/>
          <w:i/>
          <w:color w:val="1A1A1A"/>
          <w:sz w:val="20"/>
          <w:szCs w:val="26"/>
        </w:rPr>
        <w:t>how</w:t>
      </w:r>
      <w:r w:rsidR="00DB2B8B">
        <w:rPr>
          <w:rFonts w:ascii="Cambria" w:hAnsi="Cambria" w:cs="Tahoma"/>
          <w:color w:val="1A1A1A"/>
          <w:sz w:val="20"/>
          <w:szCs w:val="26"/>
        </w:rPr>
        <w:t xml:space="preserve">.  To test the effect of ICT on project </w:t>
      </w:r>
      <w:r w:rsidR="00BA6FEC">
        <w:rPr>
          <w:rFonts w:ascii="Cambria" w:hAnsi="Cambria" w:cs="Tahoma"/>
          <w:color w:val="1A1A1A"/>
          <w:sz w:val="20"/>
          <w:szCs w:val="26"/>
        </w:rPr>
        <w:t>success rate, the interventio</w:t>
      </w:r>
      <w:r w:rsidR="009773FC">
        <w:rPr>
          <w:rFonts w:ascii="Cambria" w:hAnsi="Cambria" w:cs="Tahoma"/>
          <w:color w:val="1A1A1A"/>
          <w:sz w:val="20"/>
          <w:szCs w:val="26"/>
        </w:rPr>
        <w:t xml:space="preserve">n will randomize the reporting on project progress via a mobile application installed on a mobile phone running the Android operation system. </w:t>
      </w:r>
      <w:r w:rsidR="00C87A54">
        <w:rPr>
          <w:rFonts w:ascii="Cambria" w:hAnsi="Cambria" w:cs="Tahoma"/>
          <w:color w:val="1A1A1A"/>
          <w:sz w:val="20"/>
          <w:szCs w:val="26"/>
        </w:rPr>
        <w:t xml:space="preserve">The reporting will be pushed in real time to </w:t>
      </w:r>
      <w:proofErr w:type="spellStart"/>
      <w:r w:rsidR="00C87A54">
        <w:rPr>
          <w:rFonts w:ascii="Cambria" w:hAnsi="Cambria" w:cs="Tahoma"/>
          <w:color w:val="1A1A1A"/>
          <w:sz w:val="20"/>
          <w:szCs w:val="26"/>
        </w:rPr>
        <w:t>ArcGis</w:t>
      </w:r>
      <w:proofErr w:type="spellEnd"/>
      <w:r w:rsidR="00C87A54">
        <w:rPr>
          <w:rFonts w:ascii="Cambria" w:hAnsi="Cambria" w:cs="Tahoma"/>
          <w:color w:val="1A1A1A"/>
          <w:sz w:val="20"/>
          <w:szCs w:val="26"/>
        </w:rPr>
        <w:t xml:space="preserve"> Explorer, an online mapping platform pre-populated with the project locations. </w:t>
      </w:r>
      <w:commentRangeStart w:id="0"/>
      <w:r w:rsidR="0003323A">
        <w:rPr>
          <w:rFonts w:ascii="Cambria" w:hAnsi="Cambria" w:cs="Tahoma"/>
          <w:color w:val="1A1A1A"/>
          <w:sz w:val="20"/>
          <w:szCs w:val="26"/>
        </w:rPr>
        <w:t xml:space="preserve">In a random sub-sample of projects, the </w:t>
      </w:r>
      <w:r w:rsidR="009773FC">
        <w:rPr>
          <w:rFonts w:ascii="Cambria" w:hAnsi="Cambria" w:cs="Tahoma"/>
          <w:color w:val="1A1A1A"/>
          <w:sz w:val="20"/>
          <w:szCs w:val="26"/>
        </w:rPr>
        <w:t>results of mobile reporting are only avail</w:t>
      </w:r>
      <w:r w:rsidR="0003323A">
        <w:rPr>
          <w:rFonts w:ascii="Cambria" w:hAnsi="Cambria" w:cs="Tahoma"/>
          <w:color w:val="1A1A1A"/>
          <w:sz w:val="20"/>
          <w:szCs w:val="26"/>
        </w:rPr>
        <w:t>able to project oversight teams. In a second</w:t>
      </w:r>
      <w:r w:rsidR="009773FC">
        <w:rPr>
          <w:rFonts w:ascii="Cambria" w:hAnsi="Cambria" w:cs="Tahoma"/>
          <w:color w:val="1A1A1A"/>
          <w:sz w:val="20"/>
          <w:szCs w:val="26"/>
        </w:rPr>
        <w:t xml:space="preserve"> </w:t>
      </w:r>
      <w:r w:rsidR="0003323A">
        <w:rPr>
          <w:rFonts w:ascii="Cambria" w:hAnsi="Cambria" w:cs="Tahoma"/>
          <w:color w:val="1A1A1A"/>
          <w:sz w:val="20"/>
          <w:szCs w:val="26"/>
        </w:rPr>
        <w:t xml:space="preserve">random sub-sample, results will be </w:t>
      </w:r>
      <w:r w:rsidR="009773FC">
        <w:rPr>
          <w:rFonts w:ascii="Cambria" w:hAnsi="Cambria" w:cs="Tahoma"/>
          <w:color w:val="1A1A1A"/>
          <w:sz w:val="20"/>
          <w:szCs w:val="26"/>
        </w:rPr>
        <w:t>available to projec</w:t>
      </w:r>
      <w:r w:rsidR="005879A8">
        <w:rPr>
          <w:rFonts w:ascii="Cambria" w:hAnsi="Cambria" w:cs="Tahoma"/>
          <w:color w:val="1A1A1A"/>
          <w:sz w:val="20"/>
          <w:szCs w:val="26"/>
        </w:rPr>
        <w:t>t oversight teams and published in community gathering locations, on line, and via community radio stations</w:t>
      </w:r>
      <w:r w:rsidR="0003323A">
        <w:rPr>
          <w:rFonts w:ascii="Cambria" w:hAnsi="Cambria" w:cs="Tahoma"/>
          <w:color w:val="1A1A1A"/>
          <w:sz w:val="20"/>
          <w:szCs w:val="26"/>
        </w:rPr>
        <w:t xml:space="preserve">. </w:t>
      </w:r>
      <w:r w:rsidR="005879A8">
        <w:rPr>
          <w:rFonts w:ascii="Cambria" w:hAnsi="Cambria" w:cs="Tahoma"/>
          <w:color w:val="1A1A1A"/>
          <w:sz w:val="20"/>
          <w:szCs w:val="26"/>
        </w:rPr>
        <w:t xml:space="preserve"> </w:t>
      </w:r>
      <w:r w:rsidR="0003323A">
        <w:rPr>
          <w:rFonts w:ascii="Cambria" w:hAnsi="Cambria" w:cs="Tahoma"/>
          <w:color w:val="1A1A1A"/>
          <w:sz w:val="20"/>
          <w:szCs w:val="26"/>
        </w:rPr>
        <w:t>The third random sub-sample will be a control group.</w:t>
      </w:r>
      <w:commentRangeEnd w:id="0"/>
      <w:r w:rsidR="00BF0909">
        <w:rPr>
          <w:rStyle w:val="CommentReference"/>
          <w:vanish/>
        </w:rPr>
        <w:commentReference w:id="0"/>
      </w: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5879A8" w:rsidRPr="005879A8" w:rsidRDefault="00EC21BE" w:rsidP="005879A8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  <w:r w:rsidRPr="00EC21BE">
        <w:rPr>
          <w:rFonts w:ascii="Cambria" w:hAnsi="Cambria" w:cs="Tahoma"/>
          <w:i/>
          <w:color w:val="1A1A1A"/>
          <w:sz w:val="20"/>
          <w:szCs w:val="26"/>
        </w:rPr>
        <w:t>Mechanism</w:t>
      </w:r>
      <w:r w:rsidR="005879A8">
        <w:rPr>
          <w:rFonts w:ascii="Cambria" w:hAnsi="Cambria" w:cs="Tahoma"/>
          <w:i/>
          <w:color w:val="1A1A1A"/>
          <w:sz w:val="20"/>
          <w:szCs w:val="26"/>
        </w:rPr>
        <w:t xml:space="preserve"> and Outcomes</w:t>
      </w:r>
    </w:p>
    <w:p w:rsidR="00013430" w:rsidRDefault="005879A8" w:rsidP="005879A8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  <w:r>
        <w:rPr>
          <w:rFonts w:ascii="Cambria" w:hAnsi="Cambria" w:cs="Tahoma"/>
          <w:color w:val="1A1A1A"/>
          <w:sz w:val="20"/>
          <w:szCs w:val="26"/>
        </w:rPr>
        <w:t xml:space="preserve">This intervention seeks to disaggregate the effects of competing causal </w:t>
      </w:r>
      <w:r w:rsidR="00E4737F">
        <w:rPr>
          <w:rFonts w:ascii="Cambria" w:hAnsi="Cambria" w:cs="Tahoma"/>
          <w:color w:val="1A1A1A"/>
          <w:sz w:val="20"/>
          <w:szCs w:val="26"/>
        </w:rPr>
        <w:t>stories</w:t>
      </w:r>
      <w:r>
        <w:rPr>
          <w:rFonts w:ascii="Cambria" w:hAnsi="Cambria" w:cs="Tahoma"/>
          <w:color w:val="1A1A1A"/>
          <w:sz w:val="20"/>
          <w:szCs w:val="26"/>
        </w:rPr>
        <w:t xml:space="preserve">. The first </w:t>
      </w:r>
      <w:r w:rsidR="00E4737F">
        <w:rPr>
          <w:rFonts w:ascii="Cambria" w:hAnsi="Cambria" w:cs="Tahoma"/>
          <w:color w:val="1A1A1A"/>
          <w:sz w:val="20"/>
          <w:szCs w:val="26"/>
        </w:rPr>
        <w:t>sub-sample</w:t>
      </w:r>
      <w:r>
        <w:rPr>
          <w:rFonts w:ascii="Cambria" w:hAnsi="Cambria" w:cs="Tahoma"/>
          <w:color w:val="1A1A1A"/>
          <w:sz w:val="20"/>
          <w:szCs w:val="26"/>
        </w:rPr>
        <w:t xml:space="preserve"> explores whether ICT increases situational awareness of project leaders, allowing them to do their job mo</w:t>
      </w:r>
      <w:r w:rsidR="00E4737F">
        <w:rPr>
          <w:rFonts w:ascii="Cambria" w:hAnsi="Cambria" w:cs="Tahoma"/>
          <w:color w:val="1A1A1A"/>
          <w:sz w:val="20"/>
          <w:szCs w:val="26"/>
        </w:rPr>
        <w:t>re effectively. The second sub-sample</w:t>
      </w:r>
      <w:r>
        <w:rPr>
          <w:rFonts w:ascii="Cambria" w:hAnsi="Cambria" w:cs="Tahoma"/>
          <w:color w:val="1A1A1A"/>
          <w:sz w:val="20"/>
          <w:szCs w:val="26"/>
        </w:rPr>
        <w:t xml:space="preserve"> explores whether ICT enables public pressure, allowing citizens to publicly track the performance of projects in their community.  In short, </w:t>
      </w:r>
      <w:r w:rsidR="00E4737F">
        <w:rPr>
          <w:rFonts w:ascii="Cambria" w:hAnsi="Cambria" w:cs="Tahoma"/>
          <w:color w:val="1A1A1A"/>
          <w:sz w:val="20"/>
          <w:szCs w:val="26"/>
        </w:rPr>
        <w:t xml:space="preserve">does efficiency or transparency explain how technology effects public goods allocation in developing </w:t>
      </w:r>
      <w:proofErr w:type="spellStart"/>
      <w:r w:rsidR="00E4737F">
        <w:rPr>
          <w:rFonts w:ascii="Cambria" w:hAnsi="Cambria" w:cs="Tahoma"/>
          <w:color w:val="1A1A1A"/>
          <w:sz w:val="20"/>
          <w:szCs w:val="26"/>
        </w:rPr>
        <w:t>countries</w:t>
      </w:r>
      <w:proofErr w:type="spellEnd"/>
      <w:r w:rsidR="00E4737F">
        <w:rPr>
          <w:rFonts w:ascii="Cambria" w:hAnsi="Cambria" w:cs="Tahoma"/>
          <w:color w:val="1A1A1A"/>
          <w:sz w:val="20"/>
          <w:szCs w:val="26"/>
        </w:rPr>
        <w:t xml:space="preserve">? </w:t>
      </w:r>
    </w:p>
    <w:p w:rsidR="00013430" w:rsidRDefault="00013430" w:rsidP="005879A8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EC21BE" w:rsidRPr="00EC21BE" w:rsidRDefault="00EC21BE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5879A8" w:rsidRPr="002E5BD1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5879A8" w:rsidRDefault="005879A8" w:rsidP="00AF0990">
      <w:pPr>
        <w:widowControl w:val="0"/>
        <w:autoSpaceDE w:val="0"/>
        <w:autoSpaceDN w:val="0"/>
        <w:adjustRightInd w:val="0"/>
        <w:rPr>
          <w:rFonts w:ascii="Cambria" w:hAnsi="Cambria" w:cs="Tahoma"/>
          <w:i/>
          <w:color w:val="1A1A1A"/>
          <w:sz w:val="20"/>
          <w:szCs w:val="26"/>
        </w:rPr>
      </w:pPr>
    </w:p>
    <w:p w:rsidR="00BB759D" w:rsidRDefault="00BB759D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p w:rsidR="00BB759D" w:rsidRDefault="00BB759D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  <w:r>
        <w:rPr>
          <w:rFonts w:ascii="Cambria" w:hAnsi="Cambria" w:cs="Arial"/>
          <w:noProof/>
          <w:color w:val="1A1A1A"/>
          <w:sz w:val="20"/>
          <w:szCs w:val="26"/>
        </w:rPr>
        <w:drawing>
          <wp:inline distT="0" distB="0" distL="0" distR="0">
            <wp:extent cx="5486400" cy="3644265"/>
            <wp:effectExtent l="25400" t="0" r="0" b="0"/>
            <wp:docPr id="2" name="Picture 1" descr="map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59D" w:rsidRDefault="00BB759D" w:rsidP="00BB759D">
      <w:pPr>
        <w:widowControl w:val="0"/>
        <w:tabs>
          <w:tab w:val="left" w:pos="6082"/>
        </w:tabs>
        <w:autoSpaceDE w:val="0"/>
        <w:autoSpaceDN w:val="0"/>
        <w:adjustRightInd w:val="0"/>
        <w:jc w:val="center"/>
        <w:rPr>
          <w:rFonts w:ascii="Cambria" w:hAnsi="Cambria" w:cs="Arial"/>
          <w:i/>
          <w:color w:val="1A1A1A"/>
          <w:sz w:val="20"/>
          <w:szCs w:val="26"/>
        </w:rPr>
      </w:pPr>
      <w:r>
        <w:rPr>
          <w:rFonts w:ascii="Cambria" w:hAnsi="Cambria" w:cs="Arial"/>
          <w:i/>
          <w:color w:val="1A1A1A"/>
          <w:sz w:val="20"/>
          <w:szCs w:val="26"/>
        </w:rPr>
        <w:t xml:space="preserve">The </w:t>
      </w:r>
      <w:proofErr w:type="spellStart"/>
      <w:r>
        <w:rPr>
          <w:rFonts w:ascii="Cambria" w:hAnsi="Cambria" w:cs="Arial"/>
          <w:i/>
          <w:color w:val="1A1A1A"/>
          <w:sz w:val="20"/>
          <w:szCs w:val="26"/>
        </w:rPr>
        <w:t>ArcGis</w:t>
      </w:r>
      <w:proofErr w:type="spellEnd"/>
      <w:r>
        <w:rPr>
          <w:rFonts w:ascii="Cambria" w:hAnsi="Cambria" w:cs="Arial"/>
          <w:i/>
          <w:color w:val="1A1A1A"/>
          <w:sz w:val="20"/>
          <w:szCs w:val="26"/>
        </w:rPr>
        <w:t xml:space="preserve"> Explorer Platform with CDD projects color coded by type</w:t>
      </w:r>
    </w:p>
    <w:p w:rsidR="00BB759D" w:rsidRDefault="00BB759D" w:rsidP="00BB759D">
      <w:pPr>
        <w:widowControl w:val="0"/>
        <w:tabs>
          <w:tab w:val="left" w:pos="6082"/>
        </w:tabs>
        <w:autoSpaceDE w:val="0"/>
        <w:autoSpaceDN w:val="0"/>
        <w:adjustRightInd w:val="0"/>
        <w:jc w:val="center"/>
        <w:rPr>
          <w:rFonts w:ascii="Cambria" w:hAnsi="Cambria" w:cs="Arial"/>
          <w:i/>
          <w:color w:val="1A1A1A"/>
          <w:sz w:val="20"/>
          <w:szCs w:val="26"/>
        </w:rPr>
      </w:pPr>
    </w:p>
    <w:p w:rsidR="00BB759D" w:rsidRPr="00BB759D" w:rsidRDefault="00BB759D" w:rsidP="00BB759D">
      <w:pPr>
        <w:widowControl w:val="0"/>
        <w:tabs>
          <w:tab w:val="left" w:pos="6082"/>
        </w:tabs>
        <w:autoSpaceDE w:val="0"/>
        <w:autoSpaceDN w:val="0"/>
        <w:adjustRightInd w:val="0"/>
        <w:jc w:val="center"/>
        <w:rPr>
          <w:rFonts w:ascii="Cambria" w:hAnsi="Cambria" w:cs="Arial"/>
          <w:i/>
          <w:color w:val="1A1A1A"/>
          <w:sz w:val="20"/>
          <w:szCs w:val="26"/>
        </w:rPr>
      </w:pPr>
    </w:p>
    <w:p w:rsidR="00BB759D" w:rsidRDefault="00BB759D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  <w:r w:rsidRPr="00BB759D">
        <w:rPr>
          <w:rFonts w:ascii="Cambria" w:hAnsi="Cambria" w:cs="Arial"/>
          <w:color w:val="1A1A1A"/>
          <w:sz w:val="20"/>
          <w:szCs w:val="26"/>
        </w:rPr>
        <w:drawing>
          <wp:inline distT="0" distB="0" distL="0" distR="0">
            <wp:extent cx="5486400" cy="3675380"/>
            <wp:effectExtent l="25400" t="0" r="0" b="0"/>
            <wp:docPr id="28" name="Picture 2" descr="map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59D" w:rsidRDefault="00BB759D" w:rsidP="00BB759D">
      <w:pPr>
        <w:widowControl w:val="0"/>
        <w:tabs>
          <w:tab w:val="left" w:pos="6082"/>
        </w:tabs>
        <w:autoSpaceDE w:val="0"/>
        <w:autoSpaceDN w:val="0"/>
        <w:adjustRightInd w:val="0"/>
        <w:jc w:val="center"/>
        <w:rPr>
          <w:rFonts w:ascii="Cambria" w:hAnsi="Cambria" w:cs="Arial"/>
          <w:i/>
          <w:color w:val="1A1A1A"/>
          <w:sz w:val="20"/>
          <w:szCs w:val="26"/>
        </w:rPr>
      </w:pPr>
      <w:r>
        <w:rPr>
          <w:rFonts w:ascii="Cambria" w:hAnsi="Cambria" w:cs="Arial"/>
          <w:i/>
          <w:color w:val="1A1A1A"/>
          <w:sz w:val="20"/>
          <w:szCs w:val="26"/>
        </w:rPr>
        <w:t xml:space="preserve">The </w:t>
      </w:r>
      <w:proofErr w:type="spellStart"/>
      <w:r>
        <w:rPr>
          <w:rFonts w:ascii="Cambria" w:hAnsi="Cambria" w:cs="Arial"/>
          <w:i/>
          <w:color w:val="1A1A1A"/>
          <w:sz w:val="20"/>
          <w:szCs w:val="26"/>
        </w:rPr>
        <w:t>ArcGis</w:t>
      </w:r>
      <w:proofErr w:type="spellEnd"/>
      <w:r>
        <w:rPr>
          <w:rFonts w:ascii="Cambria" w:hAnsi="Cambria" w:cs="Arial"/>
          <w:i/>
          <w:color w:val="1A1A1A"/>
          <w:sz w:val="20"/>
          <w:szCs w:val="26"/>
        </w:rPr>
        <w:t xml:space="preserve"> Explorer Platform with project performance widget</w:t>
      </w:r>
    </w:p>
    <w:p w:rsidR="00BF0909" w:rsidRDefault="00BF0909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p w:rsidR="00BF0909" w:rsidRDefault="00BF0909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p w:rsidR="00BF0909" w:rsidRDefault="00BF0909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p w:rsidR="00BF0909" w:rsidRDefault="00BF0909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p w:rsidR="003B1D71" w:rsidRPr="00EC21BE" w:rsidRDefault="003B1D71" w:rsidP="003B1D71">
      <w:pPr>
        <w:widowControl w:val="0"/>
        <w:autoSpaceDE w:val="0"/>
        <w:autoSpaceDN w:val="0"/>
        <w:adjustRightInd w:val="0"/>
        <w:rPr>
          <w:rFonts w:ascii="Cambria" w:hAnsi="Cambria" w:cs="Arial"/>
          <w:color w:val="1A1A1A"/>
          <w:sz w:val="20"/>
          <w:szCs w:val="26"/>
        </w:rPr>
      </w:pPr>
    </w:p>
    <w:sectPr w:rsidR="003B1D71" w:rsidRPr="00EC21BE" w:rsidSect="003B1D71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osh Goldstein" w:date="2012-09-15T19:26:00Z" w:initials="JG">
    <w:p w:rsidR="009065BE" w:rsidRDefault="009065BE">
      <w:pPr>
        <w:pStyle w:val="CommentText"/>
      </w:pPr>
      <w:r>
        <w:rPr>
          <w:rStyle w:val="CommentReference"/>
        </w:rPr>
        <w:annotationRef/>
      </w:r>
      <w:r>
        <w:t>In addition to the two pictures below, I would like a third simple graphic that illustrates the main question in my paper: does technology effect development through improved situational awareness for decision makers (efficiency) OR through increased citizen pressure (transparency)?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ED80672"/>
    <w:multiLevelType w:val="hybridMultilevel"/>
    <w:tmpl w:val="6C94E834"/>
    <w:lvl w:ilvl="0" w:tplc="BD40D38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0990"/>
    <w:rsid w:val="00013430"/>
    <w:rsid w:val="0003323A"/>
    <w:rsid w:val="001357D2"/>
    <w:rsid w:val="002A2B69"/>
    <w:rsid w:val="002E5BD1"/>
    <w:rsid w:val="003B1D71"/>
    <w:rsid w:val="005879A8"/>
    <w:rsid w:val="009065BE"/>
    <w:rsid w:val="009773FC"/>
    <w:rsid w:val="00AF0990"/>
    <w:rsid w:val="00B232D5"/>
    <w:rsid w:val="00BA6FEC"/>
    <w:rsid w:val="00BB759D"/>
    <w:rsid w:val="00BF0909"/>
    <w:rsid w:val="00C3040B"/>
    <w:rsid w:val="00C87A54"/>
    <w:rsid w:val="00CD7455"/>
    <w:rsid w:val="00DB2B8B"/>
    <w:rsid w:val="00E4737F"/>
    <w:rsid w:val="00EC21BE"/>
    <w:rsid w:val="00F83F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B1D7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09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9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9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9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9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90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90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401</Words>
  <Characters>2289</Characters>
  <Application>Microsoft Macintosh Word</Application>
  <DocSecurity>0</DocSecurity>
  <Lines>19</Lines>
  <Paragraphs>4</Paragraphs>
  <ScaleCrop>false</ScaleCrop>
  <Company>Princeton University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Goldstein</dc:creator>
  <cp:keywords/>
  <cp:lastModifiedBy>Josh Goldstein</cp:lastModifiedBy>
  <cp:revision>4</cp:revision>
  <dcterms:created xsi:type="dcterms:W3CDTF">2012-09-15T16:13:00Z</dcterms:created>
  <dcterms:modified xsi:type="dcterms:W3CDTF">2012-09-15T16:38:00Z</dcterms:modified>
</cp:coreProperties>
</file>